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r>
        <w:t xml:space="preserve"> </w:t>
      </w:r>
      <w:r>
        <w:t xml:space="preserve">-</w:t>
      </w:r>
      <w:r>
        <w:t xml:space="preserve"> </w:t>
      </w:r>
      <w:r>
        <w:t xml:space="preserve">worked</w:t>
      </w:r>
      <w:r>
        <w:t xml:space="preserve"> </w:t>
      </w:r>
      <w:r>
        <w:t xml:space="preserve">example</w:t>
      </w:r>
    </w:p>
    <w:p>
      <w:pPr>
        <w:pStyle w:val="Author"/>
      </w:pPr>
      <w:r>
        <w:t xml:space="preserve">Mark</w:t>
      </w:r>
      <w:r>
        <w:t xml:space="preserve"> </w:t>
      </w:r>
      <w:r>
        <w:t xml:space="preserve">Baillie</w:t>
      </w:r>
    </w:p>
    <w:p>
      <w:pPr>
        <w:pStyle w:val="Author"/>
      </w:pPr>
      <w:r>
        <w:t xml:space="preserve">Georg</w:t>
      </w:r>
      <w:r>
        <w:t xml:space="preserve"> </w:t>
      </w:r>
      <w:r>
        <w:t xml:space="preserve">Heinze</w:t>
      </w:r>
    </w:p>
    <w:p>
      <w:pPr>
        <w:pStyle w:val="Author"/>
      </w:pPr>
      <w:r>
        <w:t xml:space="preserve">Marianne</w:t>
      </w:r>
      <w:r>
        <w:t xml:space="preserve"> </w:t>
      </w:r>
      <w:r>
        <w:t xml:space="preserve">Huebner</w:t>
      </w:r>
    </w:p>
    <w:p>
      <w:pPr>
        <w:pStyle w:val="Date"/>
      </w:pPr>
      <w:r>
        <w:t xml:space="preserve">2024-04-11</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in the</w:t>
      </w:r>
      <w:r>
        <w:t xml:space="preserve"> </w:t>
      </w:r>
      <w:r>
        <w:rPr>
          <w:rStyle w:val="VerbatimChar"/>
        </w:rPr>
        <w:t xml:space="preserve">data-raw</w:t>
      </w:r>
      <w:r>
        <w:t xml:space="preserve"> </w:t>
      </w:r>
      <w:r>
        <w:t xml:space="preserve">folder.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of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be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this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transformed into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ive-indicator-flags"/>
    <w:p>
      <w:pPr>
        <w:pStyle w:val="Heading3"/>
      </w:pPr>
      <w:r>
        <w:t xml:space="preserve">3.1.6 Derive indicator flags</w:t>
      </w:r>
    </w:p>
    <w:p>
      <w:pPr>
        <w:pStyle w:val="FirstParagraph"/>
      </w:pPr>
      <w:r>
        <w:t xml:space="preserve">The next step is to derive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ivations"/>
    <w:p>
      <w:pPr>
        <w:pStyle w:val="Heading3"/>
      </w:pPr>
      <w:r>
        <w:t xml:space="preserve">3.1.7 Data derivations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section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matrix of differences between Spearman and Pearson pairwise correlation coefficients.</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of differences between Spearman and Pearson pairwise correlation coefficients but suppress differences less then 0.1 in absolute value.</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in absolute value will be depicted in scatterplots. First report the table of predictor pairs where the difference (column</w:t>
      </w:r>
      <w:r>
        <w:t xml:space="preserve"> </w:t>
      </w:r>
      <w:r>
        <w:rPr>
          <w:rStyle w:val="VerbatimChar"/>
        </w:rPr>
        <w:t xml:space="preserve">r</w:t>
      </w:r>
      <w:r>
        <w:t xml:space="preserve">) 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ivations-and-transformations"/>
    <w:p>
      <w:pPr>
        <w:pStyle w:val="Heading2"/>
      </w:pPr>
      <w:r>
        <w:t xml:space="preserve">7.1 Final derivations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pseudo-log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derivation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CommentTok"/>
        </w:rPr>
        <w:t xml:space="preserve"># #| layout-ncol: 2    #Remark. did not render nicely in docx (GH)</w:t>
      </w:r>
      <w:r>
        <w:br/>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320040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320040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320040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5334000" cy="3200400"/>
                    </a:xfrm>
                    <a:prstGeom prst="rect">
                      <a:avLst/>
                    </a:prstGeom>
                    <a:noFill/>
                    <a:ln w="9525">
                      <a:noFill/>
                      <a:headEnd/>
                      <a:tailEnd/>
                    </a:ln>
                  </pic:spPr>
                </pic:pic>
              </a:graphicData>
            </a:graphic>
          </wp:inline>
        </w:drawing>
      </w:r>
    </w:p>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1024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9.17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6.45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-18.759</w:t>
            </w:r>
          </w:p>
        </w:tc>
      </w:tr>
    </w:tbl>
    <w:p>
      <w:pPr>
        <w:pStyle w:val="BodyText"/>
      </w:pPr>
      <w:r>
        <w:t xml:space="preserve">Even if the model with transformed WBC has a slightly better prediction performance as revealed by the summary plots below, this is not the reason for the difference. The estimates -0.56 and -3.09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-0.05 up to 2.38,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9.17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6.45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9.17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4.88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 × 10^-48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 - worked example</dc:title>
  <dc:creator>Mark Baillie; Georg Heinze; Marianne Huebner</dc:creator>
  <cp:keywords/>
  <dcterms:created xsi:type="dcterms:W3CDTF">2024-04-11T15:54:03Z</dcterms:created>
  <dcterms:modified xsi:type="dcterms:W3CDTF">2024-04-11T15:54:03Z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2024-04-11</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